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23" w:rsidRDefault="00227923" w:rsidP="00227923">
      <w:pPr>
        <w:bidi w:val="0"/>
        <w:rPr>
          <w:rFonts w:asciiTheme="majorBidi" w:eastAsia="Times New Roman" w:hAnsiTheme="majorBidi" w:cstheme="majorBidi"/>
          <w:sz w:val="24"/>
          <w:szCs w:val="24"/>
          <w:lang w:val="en"/>
        </w:rPr>
      </w:pPr>
    </w:p>
    <w:p w:rsidR="00227923" w:rsidRPr="00227923" w:rsidRDefault="00227923" w:rsidP="00227923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en"/>
        </w:rPr>
      </w:pPr>
      <w:r w:rsidRPr="00227923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Supplementary </w:t>
      </w:r>
      <w:proofErr w:type="gramStart"/>
      <w:r w:rsidRPr="00227923">
        <w:rPr>
          <w:rFonts w:asciiTheme="majorBidi" w:eastAsia="Times New Roman" w:hAnsiTheme="majorBidi" w:cstheme="majorBidi"/>
          <w:sz w:val="24"/>
          <w:szCs w:val="24"/>
          <w:lang w:val="en"/>
        </w:rPr>
        <w:t>1</w:t>
      </w:r>
      <w:proofErr w:type="gramEnd"/>
      <w:r w:rsidRPr="00227923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. Details of identified potential interactions between anti-COVID-19 agents and other co-administered medications by the </w:t>
      </w:r>
      <w:r w:rsidRPr="00227923">
        <w:rPr>
          <w:rFonts w:asciiTheme="majorBidi" w:hAnsiTheme="majorBidi" w:cstheme="majorBidi"/>
          <w:sz w:val="24"/>
          <w:szCs w:val="24"/>
        </w:rPr>
        <w:t>Lexi</w:t>
      </w:r>
      <w:r w:rsidRPr="00227923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227923">
        <w:rPr>
          <w:rFonts w:asciiTheme="majorBidi" w:hAnsiTheme="majorBidi" w:cstheme="majorBidi"/>
          <w:sz w:val="24"/>
          <w:szCs w:val="24"/>
        </w:rPr>
        <w:t>Interact online software</w:t>
      </w:r>
      <w:r w:rsidRPr="00227923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 in the study population</w:t>
      </w:r>
      <w:r>
        <w:rPr>
          <w:rFonts w:asciiTheme="majorBidi" w:eastAsia="Times New Roman" w:hAnsiTheme="majorBidi" w:cstheme="majorBidi"/>
          <w:sz w:val="24"/>
          <w:szCs w:val="24"/>
          <w:lang w:val="en"/>
        </w:rPr>
        <w:t>.</w:t>
      </w:r>
      <w:bookmarkStart w:id="0" w:name="_GoBack"/>
      <w:bookmarkEnd w:id="0"/>
    </w:p>
    <w:p w:rsidR="00227923" w:rsidRPr="00227923" w:rsidRDefault="00227923" w:rsidP="00227923">
      <w:pPr>
        <w:bidi w:val="0"/>
        <w:rPr>
          <w:rFonts w:asciiTheme="majorBidi" w:eastAsia="Times New Roman" w:hAnsiTheme="majorBidi" w:cstheme="majorBidi"/>
          <w:sz w:val="24"/>
          <w:szCs w:val="24"/>
          <w:lang w:val="en"/>
        </w:rPr>
      </w:pPr>
    </w:p>
    <w:tbl>
      <w:tblPr>
        <w:tblStyle w:val="GridTable4-Accent51"/>
        <w:tblW w:w="10620" w:type="dxa"/>
        <w:tblInd w:w="-545" w:type="dxa"/>
        <w:tblLook w:val="04A0" w:firstRow="1" w:lastRow="0" w:firstColumn="1" w:lastColumn="0" w:noHBand="0" w:noVBand="1"/>
      </w:tblPr>
      <w:tblGrid>
        <w:gridCol w:w="2236"/>
        <w:gridCol w:w="1025"/>
        <w:gridCol w:w="1217"/>
        <w:gridCol w:w="1059"/>
        <w:gridCol w:w="2366"/>
        <w:gridCol w:w="2717"/>
      </w:tblGrid>
      <w:tr w:rsidR="00227923" w:rsidRPr="00227923" w:rsidTr="002279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hAnsiTheme="majorBidi" w:cstheme="majorBidi"/>
                <w:color w:val="000000" w:themeColor="text1"/>
              </w:rPr>
              <w:t>Number of cases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Reliability Rating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Severity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Mechanism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color w:val="000000" w:themeColor="text1"/>
                <w:lang w:eastAsia="en-GB"/>
              </w:rPr>
              <w:t>Management</w:t>
            </w:r>
          </w:p>
        </w:tc>
      </w:tr>
      <w:tr w:rsidR="00227923" w:rsidRPr="00227923" w:rsidTr="0022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 xml:space="preserve">Dexamethasone and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-Ritonavir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Fair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Severe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 xml:space="preserve">Dexamethasone can decrease the serum concentration of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 xml:space="preserve">, potentially leading to decreased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-Ritonavir efficacy and treatment failure.</w:t>
            </w:r>
          </w:p>
        </w:tc>
        <w:tc>
          <w:tcPr>
            <w:tcW w:w="2717" w:type="dxa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Substitute another corticosteroid instead of dexamethasone.</w:t>
            </w:r>
          </w:p>
        </w:tc>
      </w:tr>
      <w:tr w:rsidR="00227923" w:rsidRPr="00227923" w:rsidTr="00227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 xml:space="preserve">Tacrolimus and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-Ritonavir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Good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 xml:space="preserve">-Ritonavir is CYP3A4 </w:t>
            </w:r>
            <w:proofErr w:type="gram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inhibitor, that</w:t>
            </w:r>
            <w:proofErr w:type="gram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 xml:space="preserve"> may lead to an increase in serum concentration of Tacrolimus.</w:t>
            </w:r>
          </w:p>
        </w:tc>
        <w:tc>
          <w:tcPr>
            <w:tcW w:w="2717" w:type="dxa"/>
            <w:shd w:val="clear" w:color="auto" w:fill="FFFFFF" w:themeFill="background1"/>
          </w:tcPr>
          <w:p w:rsidR="00227923" w:rsidRPr="00227923" w:rsidRDefault="00227923" w:rsidP="00A80188">
            <w:pPr>
              <w:bidi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 Monitor Tacrolimus level during the day 1 to 3 of therapy.</w:t>
            </w:r>
          </w:p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 Reduce the dose or extend dosing interval of Tacrolimus (e.g., less than 1 mg/week).</w:t>
            </w:r>
          </w:p>
        </w:tc>
      </w:tr>
      <w:tr w:rsidR="00227923" w:rsidRPr="00227923" w:rsidTr="002279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shd w:val="clear" w:color="auto" w:fill="FFFFFF" w:themeFill="background1"/>
            <w:hideMark/>
          </w:tcPr>
          <w:p w:rsidR="00227923" w:rsidRPr="00227923" w:rsidRDefault="00227923" w:rsidP="00A80188">
            <w:pPr>
              <w:spacing w:line="360" w:lineRule="auto"/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 xml:space="preserve">Cyclosporine and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-Ritonavir</w:t>
            </w:r>
          </w:p>
        </w:tc>
        <w:tc>
          <w:tcPr>
            <w:tcW w:w="0" w:type="auto"/>
            <w:shd w:val="clear" w:color="auto" w:fill="FFFFFF" w:themeFill="background1"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Excellent</w:t>
            </w:r>
          </w:p>
        </w:tc>
        <w:tc>
          <w:tcPr>
            <w:tcW w:w="0" w:type="auto"/>
            <w:shd w:val="clear" w:color="auto" w:fill="auto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Moderate</w:t>
            </w:r>
          </w:p>
        </w:tc>
        <w:tc>
          <w:tcPr>
            <w:tcW w:w="0" w:type="auto"/>
            <w:shd w:val="clear" w:color="auto" w:fill="auto"/>
            <w:hideMark/>
          </w:tcPr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proofErr w:type="spell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Lopinavir</w:t>
            </w:r>
            <w:proofErr w:type="spell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-Ritonavir inhibits CYP3A4, than may lead to an increase in serum concentration of Cyclosporine.</w:t>
            </w:r>
          </w:p>
        </w:tc>
        <w:tc>
          <w:tcPr>
            <w:tcW w:w="2717" w:type="dxa"/>
            <w:shd w:val="clear" w:color="auto" w:fill="auto"/>
            <w:hideMark/>
          </w:tcPr>
          <w:p w:rsidR="00227923" w:rsidRPr="00227923" w:rsidRDefault="00227923" w:rsidP="00A80188">
            <w:pPr>
              <w:bidi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 Monitor serum levels and clinical effects of Cyclosporine.</w:t>
            </w:r>
          </w:p>
          <w:p w:rsidR="00227923" w:rsidRPr="00227923" w:rsidRDefault="00227923" w:rsidP="00A801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- Reduce the dose or extend the dosing interval of Cyclosporine.</w:t>
            </w:r>
          </w:p>
        </w:tc>
      </w:tr>
      <w:tr w:rsidR="00227923" w:rsidRPr="00BE5A17" w:rsidTr="002279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hideMark/>
          </w:tcPr>
          <w:p w:rsidR="00227923" w:rsidRPr="00227923" w:rsidRDefault="00227923" w:rsidP="00A80188">
            <w:pPr>
              <w:spacing w:line="360" w:lineRule="auto"/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</w:pPr>
            <w:proofErr w:type="spellStart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>Leflunomide</w:t>
            </w:r>
            <w:proofErr w:type="spellEnd"/>
            <w:r w:rsidRPr="00227923">
              <w:rPr>
                <w:rFonts w:asciiTheme="majorBidi" w:eastAsia="Times New Roman" w:hAnsiTheme="majorBidi" w:cstheme="majorBidi"/>
                <w:b w:val="0"/>
                <w:bCs w:val="0"/>
                <w:lang w:eastAsia="en-GB"/>
              </w:rPr>
              <w:t xml:space="preserve"> and Dexamethasone</w:t>
            </w:r>
          </w:p>
        </w:tc>
        <w:tc>
          <w:tcPr>
            <w:tcW w:w="0" w:type="auto"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hideMark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hAnsiTheme="majorBidi" w:cstheme="majorBidi"/>
                <w:color w:val="000000"/>
                <w:shd w:val="clear" w:color="auto" w:fill="FFFFFF"/>
              </w:rPr>
              <w:t>Fair</w:t>
            </w:r>
          </w:p>
        </w:tc>
        <w:tc>
          <w:tcPr>
            <w:tcW w:w="0" w:type="auto"/>
            <w:hideMark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Moderate</w:t>
            </w:r>
          </w:p>
        </w:tc>
        <w:tc>
          <w:tcPr>
            <w:tcW w:w="0" w:type="auto"/>
            <w:hideMark/>
          </w:tcPr>
          <w:p w:rsidR="00227923" w:rsidRPr="00227923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 xml:space="preserve">Corticosteroids can enhance the immunosuppressive effects of </w:t>
            </w:r>
            <w:proofErr w:type="spellStart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Leflunomide</w:t>
            </w:r>
            <w:proofErr w:type="spellEnd"/>
            <w:r w:rsidRPr="00227923">
              <w:rPr>
                <w:rFonts w:asciiTheme="majorBidi" w:eastAsia="Times New Roman" w:hAnsiTheme="majorBidi" w:cstheme="majorBidi"/>
                <w:lang w:eastAsia="en-GB"/>
              </w:rPr>
              <w:t>.</w:t>
            </w:r>
          </w:p>
        </w:tc>
        <w:tc>
          <w:tcPr>
            <w:tcW w:w="2717" w:type="dxa"/>
            <w:hideMark/>
          </w:tcPr>
          <w:p w:rsidR="00227923" w:rsidRPr="00BE5A17" w:rsidRDefault="00227923" w:rsidP="00A8018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eastAsia="en-GB"/>
              </w:rPr>
            </w:pPr>
            <w:r w:rsidRPr="00227923">
              <w:rPr>
                <w:rFonts w:asciiTheme="majorBidi" w:eastAsia="Times New Roman" w:hAnsiTheme="majorBidi" w:cstheme="majorBidi"/>
                <w:lang w:eastAsia="en-GB"/>
              </w:rPr>
              <w:t>Increase monitoring of hematologic indexes (e.g., platelet, white blood cell count, and hemoglobin) monthly instead of every 6 to 8 weeks.</w:t>
            </w:r>
          </w:p>
        </w:tc>
      </w:tr>
    </w:tbl>
    <w:p w:rsidR="00512792" w:rsidRDefault="00512792"/>
    <w:sectPr w:rsidR="00512792" w:rsidSect="00227923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23"/>
    <w:rsid w:val="00227923"/>
    <w:rsid w:val="0051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6182"/>
  <w15:chartTrackingRefBased/>
  <w15:docId w15:val="{0A26D117-D7F1-4EBA-BDEF-FA3CB956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923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next w:val="GridTable4-Accent5"/>
    <w:uiPriority w:val="49"/>
    <w:rsid w:val="00227923"/>
    <w:pPr>
      <w:spacing w:after="0" w:line="240" w:lineRule="auto"/>
      <w:jc w:val="center"/>
    </w:pPr>
    <w:rPr>
      <w:rFonts w:ascii="Times New Roman" w:eastAsia="Calibri" w:hAnsi="Times New Roman" w:cs="B Nazanin"/>
      <w:szCs w:val="26"/>
      <w:lang w:bidi="fa-IR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5">
    <w:name w:val="Grid Table 4 Accent 5"/>
    <w:basedOn w:val="TableNormal"/>
    <w:uiPriority w:val="49"/>
    <w:rsid w:val="0022792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مینا زارعی</dc:creator>
  <cp:keywords/>
  <dc:description/>
  <cp:lastModifiedBy>مینا زارعی</cp:lastModifiedBy>
  <cp:revision>1</cp:revision>
  <dcterms:created xsi:type="dcterms:W3CDTF">2025-03-10T08:22:00Z</dcterms:created>
  <dcterms:modified xsi:type="dcterms:W3CDTF">2025-03-10T08:24:00Z</dcterms:modified>
</cp:coreProperties>
</file>