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D2D" w:rsidRPr="00C96D2D" w:rsidRDefault="00C96D2D" w:rsidP="00C96D2D">
      <w:pPr>
        <w:bidi w:val="0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"/>
        </w:rPr>
      </w:pPr>
      <w:r>
        <w:rPr>
          <w:rFonts w:asciiTheme="majorBidi" w:eastAsia="Times New Roman" w:hAnsiTheme="majorBidi" w:cstheme="majorBidi"/>
          <w:sz w:val="24"/>
          <w:szCs w:val="24"/>
          <w:lang w:val="en"/>
        </w:rPr>
        <w:t>Supplementary 2</w:t>
      </w:r>
      <w:bookmarkStart w:id="0" w:name="_GoBack"/>
      <w:bookmarkEnd w:id="0"/>
      <w:r w:rsidRPr="00C96D2D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. Details of identified interactions between anti-COVID-19 agents and other co-administered medications by the </w:t>
      </w:r>
      <w:r w:rsidRPr="00C96D2D">
        <w:rPr>
          <w:rFonts w:asciiTheme="majorBidi" w:hAnsiTheme="majorBidi" w:cstheme="majorBidi"/>
          <w:sz w:val="24"/>
          <w:szCs w:val="24"/>
        </w:rPr>
        <w:t xml:space="preserve">Liverpool COVID-19 interactions online software </w:t>
      </w:r>
      <w:r w:rsidRPr="00C96D2D">
        <w:rPr>
          <w:rFonts w:asciiTheme="majorBidi" w:eastAsia="Times New Roman" w:hAnsiTheme="majorBidi" w:cstheme="majorBidi"/>
          <w:sz w:val="24"/>
          <w:szCs w:val="24"/>
          <w:lang w:val="en"/>
        </w:rPr>
        <w:t>in the study population</w:t>
      </w:r>
    </w:p>
    <w:tbl>
      <w:tblPr>
        <w:tblStyle w:val="PlainTable2"/>
        <w:tblpPr w:leftFromText="180" w:rightFromText="180" w:vertAnchor="text" w:horzAnchor="margin" w:tblpXSpec="center" w:tblpY="622"/>
        <w:tblW w:w="1116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065"/>
        <w:gridCol w:w="1080"/>
        <w:gridCol w:w="1260"/>
        <w:gridCol w:w="1080"/>
        <w:gridCol w:w="3060"/>
        <w:gridCol w:w="2615"/>
      </w:tblGrid>
      <w:tr w:rsidR="00C96D2D" w:rsidRPr="00C96D2D" w:rsidTr="00A801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bottom w:val="single" w:sz="4" w:space="0" w:color="000000" w:themeColor="text1"/>
            </w:tcBorders>
            <w:vAlign w:val="center"/>
          </w:tcPr>
          <w:p w:rsidR="00C96D2D" w:rsidRPr="00C96D2D" w:rsidRDefault="00C96D2D" w:rsidP="00A80188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96D2D">
              <w:rPr>
                <w:rFonts w:asciiTheme="majorBidi" w:hAnsiTheme="majorBidi" w:cstheme="majorBidi"/>
              </w:rPr>
              <w:t>Drug- drug interaction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vAlign w:val="center"/>
          </w:tcPr>
          <w:p w:rsidR="00C96D2D" w:rsidRPr="00C96D2D" w:rsidRDefault="00C96D2D" w:rsidP="00A80188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96D2D">
              <w:rPr>
                <w:rFonts w:asciiTheme="majorBidi" w:hAnsiTheme="majorBidi" w:cstheme="majorBidi"/>
              </w:rPr>
              <w:t>Number of cases</w:t>
            </w:r>
          </w:p>
        </w:tc>
        <w:tc>
          <w:tcPr>
            <w:tcW w:w="1260" w:type="dxa"/>
            <w:tcBorders>
              <w:bottom w:val="single" w:sz="4" w:space="0" w:color="000000" w:themeColor="text1"/>
            </w:tcBorders>
            <w:vAlign w:val="center"/>
          </w:tcPr>
          <w:p w:rsidR="00C96D2D" w:rsidRPr="00C96D2D" w:rsidRDefault="00C96D2D" w:rsidP="00A80188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96D2D">
              <w:rPr>
                <w:rFonts w:asciiTheme="majorBidi" w:hAnsiTheme="majorBidi" w:cstheme="majorBidi"/>
              </w:rPr>
              <w:t>Quality of Evidence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vAlign w:val="center"/>
          </w:tcPr>
          <w:p w:rsidR="00C96D2D" w:rsidRPr="00C96D2D" w:rsidRDefault="00C96D2D" w:rsidP="00A80188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96D2D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Severity</w:t>
            </w:r>
          </w:p>
        </w:tc>
        <w:tc>
          <w:tcPr>
            <w:tcW w:w="3060" w:type="dxa"/>
            <w:tcBorders>
              <w:bottom w:val="single" w:sz="4" w:space="0" w:color="000000" w:themeColor="text1"/>
            </w:tcBorders>
            <w:vAlign w:val="center"/>
          </w:tcPr>
          <w:p w:rsidR="00C96D2D" w:rsidRPr="00C96D2D" w:rsidRDefault="00C96D2D" w:rsidP="00A80188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96D2D">
              <w:rPr>
                <w:rFonts w:asciiTheme="majorBidi" w:hAnsiTheme="majorBidi" w:cstheme="majorBidi"/>
              </w:rPr>
              <w:t>Mechanism(s)</w:t>
            </w:r>
          </w:p>
        </w:tc>
        <w:tc>
          <w:tcPr>
            <w:tcW w:w="2615" w:type="dxa"/>
            <w:tcBorders>
              <w:bottom w:val="single" w:sz="4" w:space="0" w:color="000000" w:themeColor="text1"/>
            </w:tcBorders>
            <w:vAlign w:val="center"/>
          </w:tcPr>
          <w:p w:rsidR="00C96D2D" w:rsidRPr="00C96D2D" w:rsidRDefault="00C96D2D" w:rsidP="00A80188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96D2D">
              <w:rPr>
                <w:rFonts w:asciiTheme="majorBidi" w:hAnsiTheme="majorBidi" w:cstheme="majorBidi"/>
              </w:rPr>
              <w:t>Management</w:t>
            </w:r>
          </w:p>
        </w:tc>
      </w:tr>
      <w:tr w:rsidR="00C96D2D" w:rsidRPr="00C96D2D" w:rsidTr="00A80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000000" w:themeColor="text1"/>
            </w:tcBorders>
            <w:vAlign w:val="center"/>
          </w:tcPr>
          <w:p w:rsidR="00C96D2D" w:rsidRPr="00C96D2D" w:rsidRDefault="00C96D2D" w:rsidP="00A80188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C96D2D">
              <w:rPr>
                <w:rFonts w:asciiTheme="majorBidi" w:hAnsiTheme="majorBidi" w:cstheme="majorBidi"/>
                <w:b w:val="0"/>
                <w:bCs w:val="0"/>
              </w:rPr>
              <w:t>Dexamethasone and Tacrolimus</w:t>
            </w:r>
          </w:p>
        </w:tc>
        <w:tc>
          <w:tcPr>
            <w:tcW w:w="1080" w:type="dxa"/>
            <w:tcBorders>
              <w:top w:val="single" w:sz="4" w:space="0" w:color="000000" w:themeColor="text1"/>
            </w:tcBorders>
            <w:vAlign w:val="center"/>
          </w:tcPr>
          <w:p w:rsidR="00C96D2D" w:rsidRPr="00C96D2D" w:rsidRDefault="00C96D2D" w:rsidP="00A80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96D2D">
              <w:rPr>
                <w:rFonts w:asciiTheme="majorBidi" w:hAnsiTheme="majorBidi" w:cstheme="majorBidi"/>
                <w:rtl/>
              </w:rPr>
              <w:t>58</w:t>
            </w:r>
          </w:p>
        </w:tc>
        <w:tc>
          <w:tcPr>
            <w:tcW w:w="1260" w:type="dxa"/>
            <w:tcBorders>
              <w:top w:val="single" w:sz="4" w:space="0" w:color="000000" w:themeColor="text1"/>
            </w:tcBorders>
            <w:vAlign w:val="center"/>
          </w:tcPr>
          <w:p w:rsidR="00C96D2D" w:rsidRPr="00C96D2D" w:rsidRDefault="00C96D2D" w:rsidP="00A80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96D2D">
              <w:rPr>
                <w:rFonts w:asciiTheme="majorBidi" w:hAnsiTheme="majorBidi" w:cstheme="majorBidi"/>
              </w:rPr>
              <w:t>Very Low</w:t>
            </w:r>
          </w:p>
        </w:tc>
        <w:tc>
          <w:tcPr>
            <w:tcW w:w="1080" w:type="dxa"/>
            <w:tcBorders>
              <w:top w:val="single" w:sz="4" w:space="0" w:color="000000" w:themeColor="text1"/>
            </w:tcBorders>
            <w:vAlign w:val="center"/>
          </w:tcPr>
          <w:p w:rsidR="00C96D2D" w:rsidRPr="00C96D2D" w:rsidRDefault="00C96D2D" w:rsidP="00A80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C96D2D">
              <w:rPr>
                <w:rFonts w:asciiTheme="majorBidi" w:hAnsiTheme="majorBidi" w:cstheme="majorBidi"/>
              </w:rPr>
              <w:t>Potential</w:t>
            </w:r>
          </w:p>
        </w:tc>
        <w:tc>
          <w:tcPr>
            <w:tcW w:w="3060" w:type="dxa"/>
            <w:tcBorders>
              <w:top w:val="single" w:sz="4" w:space="0" w:color="000000" w:themeColor="text1"/>
            </w:tcBorders>
            <w:vAlign w:val="center"/>
          </w:tcPr>
          <w:p w:rsidR="00C96D2D" w:rsidRPr="00C96D2D" w:rsidRDefault="00C96D2D" w:rsidP="00A80188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96D2D">
              <w:rPr>
                <w:rFonts w:asciiTheme="majorBidi" w:hAnsiTheme="majorBidi" w:cstheme="majorBidi"/>
              </w:rPr>
              <w:t>Tacrolimus is metabolized by CYP3A4, and Dexamethasone can enhance Tacrolimus metabolism by inducing CYP3A4, potentially leading to decreased Tacrolimus concentrations.</w:t>
            </w:r>
          </w:p>
        </w:tc>
        <w:tc>
          <w:tcPr>
            <w:tcW w:w="2615" w:type="dxa"/>
            <w:tcBorders>
              <w:top w:val="single" w:sz="4" w:space="0" w:color="000000" w:themeColor="text1"/>
            </w:tcBorders>
            <w:vAlign w:val="center"/>
          </w:tcPr>
          <w:p w:rsidR="00C96D2D" w:rsidRPr="00C96D2D" w:rsidRDefault="00C96D2D" w:rsidP="00A80188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96D2D">
              <w:rPr>
                <w:rFonts w:asciiTheme="majorBidi" w:hAnsiTheme="majorBidi" w:cstheme="majorBidi"/>
              </w:rPr>
              <w:t>Monitor Tacrolimus concentration during COVID-19 treatment and 2 weeks after the end of treatment.</w:t>
            </w:r>
          </w:p>
        </w:tc>
      </w:tr>
      <w:tr w:rsidR="00C96D2D" w:rsidRPr="00C96D2D" w:rsidTr="00A80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Align w:val="center"/>
          </w:tcPr>
          <w:p w:rsidR="00C96D2D" w:rsidRPr="00C96D2D" w:rsidRDefault="00C96D2D" w:rsidP="00A80188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C96D2D">
              <w:rPr>
                <w:rFonts w:asciiTheme="majorBidi" w:hAnsiTheme="majorBidi" w:cstheme="majorBidi"/>
                <w:b w:val="0"/>
                <w:bCs w:val="0"/>
              </w:rPr>
              <w:t>Dexamethasone and Cyclosporine</w:t>
            </w:r>
          </w:p>
        </w:tc>
        <w:tc>
          <w:tcPr>
            <w:tcW w:w="1080" w:type="dxa"/>
            <w:vAlign w:val="center"/>
          </w:tcPr>
          <w:p w:rsidR="00C96D2D" w:rsidRPr="00C96D2D" w:rsidRDefault="00C96D2D" w:rsidP="00A801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96D2D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1260" w:type="dxa"/>
            <w:vAlign w:val="center"/>
          </w:tcPr>
          <w:p w:rsidR="00C96D2D" w:rsidRPr="00C96D2D" w:rsidRDefault="00C96D2D" w:rsidP="00A801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96D2D">
              <w:rPr>
                <w:rFonts w:asciiTheme="majorBidi" w:hAnsiTheme="majorBidi" w:cstheme="majorBidi"/>
              </w:rPr>
              <w:t>Very Low</w:t>
            </w:r>
          </w:p>
        </w:tc>
        <w:tc>
          <w:tcPr>
            <w:tcW w:w="1080" w:type="dxa"/>
            <w:vAlign w:val="center"/>
          </w:tcPr>
          <w:p w:rsidR="00C96D2D" w:rsidRPr="00C96D2D" w:rsidRDefault="00C96D2D" w:rsidP="00A801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C96D2D">
              <w:rPr>
                <w:rFonts w:asciiTheme="majorBidi" w:hAnsiTheme="majorBidi" w:cstheme="majorBidi"/>
              </w:rPr>
              <w:t>Potential</w:t>
            </w:r>
          </w:p>
        </w:tc>
        <w:tc>
          <w:tcPr>
            <w:tcW w:w="3060" w:type="dxa"/>
            <w:vAlign w:val="center"/>
          </w:tcPr>
          <w:p w:rsidR="00C96D2D" w:rsidRPr="00C96D2D" w:rsidRDefault="00C96D2D" w:rsidP="00A80188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96D2D">
              <w:rPr>
                <w:rFonts w:asciiTheme="majorBidi" w:hAnsiTheme="majorBidi" w:cstheme="majorBidi"/>
              </w:rPr>
              <w:t>Cyclosporine is metabolized by CYP3A4, and Dexamethasone can enhance Cyclosporine metabolism by inducing CYP3A4, potentially leading to decreased Cyclosporine concentrations.</w:t>
            </w:r>
          </w:p>
        </w:tc>
        <w:tc>
          <w:tcPr>
            <w:tcW w:w="2615" w:type="dxa"/>
            <w:vAlign w:val="center"/>
          </w:tcPr>
          <w:p w:rsidR="00C96D2D" w:rsidRPr="00C96D2D" w:rsidRDefault="00C96D2D" w:rsidP="00A80188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96D2D">
              <w:rPr>
                <w:rFonts w:asciiTheme="majorBidi" w:hAnsiTheme="majorBidi" w:cstheme="majorBidi"/>
              </w:rPr>
              <w:t>Monitor Cyclosporine concentration during COVID-19 treatment and 2 weeks after the end of treatment.</w:t>
            </w:r>
          </w:p>
        </w:tc>
      </w:tr>
      <w:tr w:rsidR="00C96D2D" w:rsidRPr="00C96D2D" w:rsidTr="00A80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Align w:val="center"/>
          </w:tcPr>
          <w:p w:rsidR="00C96D2D" w:rsidRPr="00C96D2D" w:rsidRDefault="00C96D2D" w:rsidP="00A80188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C96D2D">
              <w:rPr>
                <w:rFonts w:asciiTheme="majorBidi" w:hAnsiTheme="majorBidi" w:cstheme="majorBidi"/>
                <w:b w:val="0"/>
                <w:bCs w:val="0"/>
              </w:rPr>
              <w:t>Tocilizumab and Tacrolimus</w:t>
            </w:r>
          </w:p>
        </w:tc>
        <w:tc>
          <w:tcPr>
            <w:tcW w:w="1080" w:type="dxa"/>
            <w:vAlign w:val="center"/>
          </w:tcPr>
          <w:p w:rsidR="00C96D2D" w:rsidRPr="00C96D2D" w:rsidRDefault="00C96D2D" w:rsidP="00A80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96D2D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260" w:type="dxa"/>
            <w:vAlign w:val="center"/>
          </w:tcPr>
          <w:p w:rsidR="00C96D2D" w:rsidRPr="00C96D2D" w:rsidRDefault="00C96D2D" w:rsidP="00A80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96D2D">
              <w:rPr>
                <w:rFonts w:asciiTheme="majorBidi" w:hAnsiTheme="majorBidi" w:cstheme="majorBidi"/>
              </w:rPr>
              <w:t>Very Low</w:t>
            </w:r>
          </w:p>
        </w:tc>
        <w:tc>
          <w:tcPr>
            <w:tcW w:w="1080" w:type="dxa"/>
            <w:vAlign w:val="center"/>
          </w:tcPr>
          <w:p w:rsidR="00C96D2D" w:rsidRPr="00C96D2D" w:rsidRDefault="00C96D2D" w:rsidP="00A80188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96D2D">
              <w:rPr>
                <w:rFonts w:asciiTheme="majorBidi" w:hAnsiTheme="majorBidi" w:cstheme="majorBidi"/>
              </w:rPr>
              <w:t>Potential weak</w:t>
            </w:r>
          </w:p>
        </w:tc>
        <w:tc>
          <w:tcPr>
            <w:tcW w:w="3060" w:type="dxa"/>
            <w:vAlign w:val="center"/>
          </w:tcPr>
          <w:p w:rsidR="00C96D2D" w:rsidRPr="00C96D2D" w:rsidRDefault="00C96D2D" w:rsidP="00A80188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q4iawc"/>
                <w:rFonts w:asciiTheme="majorBidi" w:hAnsiTheme="majorBidi" w:cstheme="majorBidi"/>
                <w:lang w:val="en"/>
              </w:rPr>
            </w:pPr>
            <w:r w:rsidRPr="00C96D2D">
              <w:rPr>
                <w:rStyle w:val="q4iawc"/>
                <w:rFonts w:asciiTheme="majorBidi" w:hAnsiTheme="majorBidi" w:cstheme="majorBidi"/>
                <w:lang w:val="en"/>
              </w:rPr>
              <w:t xml:space="preserve">Tacrolimus is metabolized by CYP3A4, and patients with COVID-19 may have high levels of IL-6, which can inhibit CYP3A4 expression/activity. </w:t>
            </w:r>
            <w:hyperlink r:id="rId4" w:history="1"/>
          </w:p>
          <w:p w:rsidR="00C96D2D" w:rsidRPr="00C96D2D" w:rsidRDefault="00C96D2D" w:rsidP="00A80188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"/>
              </w:rPr>
            </w:pPr>
            <w:r w:rsidRPr="00C96D2D">
              <w:rPr>
                <w:rFonts w:asciiTheme="majorBidi" w:hAnsiTheme="majorBidi" w:cstheme="majorBidi"/>
              </w:rPr>
              <w:t>Tocilizumab</w:t>
            </w:r>
            <w:r w:rsidRPr="00C96D2D">
              <w:rPr>
                <w:rStyle w:val="q4iawc"/>
                <w:rFonts w:asciiTheme="majorBidi" w:hAnsiTheme="majorBidi" w:cstheme="majorBidi"/>
                <w:lang w:val="en"/>
              </w:rPr>
              <w:t xml:space="preserve"> can normalize the activity of CYP3A4 by inhibiting the increase of IL-6, </w:t>
            </w:r>
            <w:r w:rsidRPr="00C96D2D">
              <w:rPr>
                <w:rFonts w:asciiTheme="majorBidi" w:hAnsiTheme="majorBidi" w:cstheme="majorBidi"/>
              </w:rPr>
              <w:t>potentially leading to decreased Tacrolimus concentrations.</w:t>
            </w:r>
          </w:p>
        </w:tc>
        <w:tc>
          <w:tcPr>
            <w:tcW w:w="2615" w:type="dxa"/>
            <w:vAlign w:val="center"/>
          </w:tcPr>
          <w:p w:rsidR="00C96D2D" w:rsidRPr="00C96D2D" w:rsidRDefault="00C96D2D" w:rsidP="00A80188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96D2D">
              <w:rPr>
                <w:rFonts w:asciiTheme="majorBidi" w:hAnsiTheme="majorBidi" w:cstheme="majorBidi"/>
              </w:rPr>
              <w:t>Monitor Tacrolimus concentrations and increase its dose to maintain therapeutic effect, if required.</w:t>
            </w:r>
          </w:p>
        </w:tc>
      </w:tr>
      <w:tr w:rsidR="00C96D2D" w:rsidRPr="00C96D2D" w:rsidTr="00A80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Align w:val="center"/>
          </w:tcPr>
          <w:p w:rsidR="00C96D2D" w:rsidRPr="00C96D2D" w:rsidRDefault="00C96D2D" w:rsidP="00A80188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C96D2D">
              <w:rPr>
                <w:rFonts w:asciiTheme="majorBidi" w:hAnsiTheme="majorBidi" w:cstheme="majorBidi"/>
                <w:b w:val="0"/>
                <w:bCs w:val="0"/>
              </w:rPr>
              <w:t>Tocilizumab and Cyclosporine</w:t>
            </w:r>
          </w:p>
        </w:tc>
        <w:tc>
          <w:tcPr>
            <w:tcW w:w="1080" w:type="dxa"/>
            <w:vAlign w:val="center"/>
          </w:tcPr>
          <w:p w:rsidR="00C96D2D" w:rsidRPr="00C96D2D" w:rsidRDefault="00C96D2D" w:rsidP="00A801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96D2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260" w:type="dxa"/>
            <w:vAlign w:val="center"/>
          </w:tcPr>
          <w:p w:rsidR="00C96D2D" w:rsidRPr="00C96D2D" w:rsidRDefault="00C96D2D" w:rsidP="00A801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96D2D">
              <w:rPr>
                <w:rFonts w:asciiTheme="majorBidi" w:hAnsiTheme="majorBidi" w:cstheme="majorBidi"/>
              </w:rPr>
              <w:t>Poor</w:t>
            </w:r>
          </w:p>
        </w:tc>
        <w:tc>
          <w:tcPr>
            <w:tcW w:w="1080" w:type="dxa"/>
            <w:vAlign w:val="center"/>
          </w:tcPr>
          <w:p w:rsidR="00C96D2D" w:rsidRPr="00C96D2D" w:rsidRDefault="00C96D2D" w:rsidP="00A80188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96D2D">
              <w:rPr>
                <w:rFonts w:asciiTheme="majorBidi" w:hAnsiTheme="majorBidi" w:cstheme="majorBidi"/>
              </w:rPr>
              <w:t>Potential weak</w:t>
            </w:r>
          </w:p>
        </w:tc>
        <w:tc>
          <w:tcPr>
            <w:tcW w:w="3060" w:type="dxa"/>
            <w:vAlign w:val="center"/>
          </w:tcPr>
          <w:p w:rsidR="00C96D2D" w:rsidRPr="00C96D2D" w:rsidRDefault="00C96D2D" w:rsidP="00A80188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q4iawc"/>
                <w:rFonts w:asciiTheme="majorBidi" w:hAnsiTheme="majorBidi" w:cstheme="majorBidi"/>
                <w:lang w:val="en"/>
              </w:rPr>
            </w:pPr>
            <w:r w:rsidRPr="00C96D2D">
              <w:rPr>
                <w:rStyle w:val="q4iawc"/>
                <w:rFonts w:asciiTheme="majorBidi" w:hAnsiTheme="majorBidi" w:cstheme="majorBidi"/>
                <w:lang w:val="en"/>
              </w:rPr>
              <w:t xml:space="preserve">Cyclosporine is metabolized by CYP3A4, and patients with COVID-19 may have high levels of IL-6, which can inhibit CYP3A4 expression/activity. </w:t>
            </w:r>
            <w:hyperlink r:id="rId5" w:history="1"/>
          </w:p>
          <w:p w:rsidR="00C96D2D" w:rsidRPr="00C96D2D" w:rsidRDefault="00C96D2D" w:rsidP="00A80188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96D2D">
              <w:rPr>
                <w:rFonts w:asciiTheme="majorBidi" w:hAnsiTheme="majorBidi" w:cstheme="majorBidi"/>
              </w:rPr>
              <w:t>Tocilizumab</w:t>
            </w:r>
            <w:r w:rsidRPr="00C96D2D">
              <w:rPr>
                <w:rStyle w:val="q4iawc"/>
                <w:rFonts w:asciiTheme="majorBidi" w:hAnsiTheme="majorBidi" w:cstheme="majorBidi"/>
                <w:lang w:val="en"/>
              </w:rPr>
              <w:t xml:space="preserve"> can normalize the activity of CYP3A4 by inhibiting the increase of IL-6, </w:t>
            </w:r>
            <w:r w:rsidRPr="00C96D2D">
              <w:rPr>
                <w:rFonts w:asciiTheme="majorBidi" w:hAnsiTheme="majorBidi" w:cstheme="majorBidi"/>
              </w:rPr>
              <w:t xml:space="preserve">potentially leading to decreased </w:t>
            </w:r>
            <w:r w:rsidRPr="00C96D2D">
              <w:rPr>
                <w:rStyle w:val="q4iawc"/>
                <w:rFonts w:asciiTheme="majorBidi" w:hAnsiTheme="majorBidi" w:cstheme="majorBidi"/>
                <w:lang w:val="en"/>
              </w:rPr>
              <w:t>Cyclosporine</w:t>
            </w:r>
            <w:r w:rsidRPr="00C96D2D">
              <w:rPr>
                <w:rFonts w:asciiTheme="majorBidi" w:hAnsiTheme="majorBidi" w:cstheme="majorBidi"/>
              </w:rPr>
              <w:t xml:space="preserve"> concentrations.</w:t>
            </w:r>
          </w:p>
        </w:tc>
        <w:tc>
          <w:tcPr>
            <w:tcW w:w="2615" w:type="dxa"/>
            <w:vAlign w:val="center"/>
          </w:tcPr>
          <w:p w:rsidR="00C96D2D" w:rsidRPr="00C96D2D" w:rsidRDefault="00C96D2D" w:rsidP="00A80188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96D2D">
              <w:rPr>
                <w:rFonts w:asciiTheme="majorBidi" w:hAnsiTheme="majorBidi" w:cstheme="majorBidi"/>
              </w:rPr>
              <w:t xml:space="preserve">Monitor </w:t>
            </w:r>
            <w:r w:rsidRPr="00C96D2D">
              <w:rPr>
                <w:rStyle w:val="q4iawc"/>
                <w:rFonts w:asciiTheme="majorBidi" w:hAnsiTheme="majorBidi" w:cstheme="majorBidi"/>
                <w:lang w:val="en"/>
              </w:rPr>
              <w:t>Cyclosporine</w:t>
            </w:r>
            <w:r w:rsidRPr="00C96D2D">
              <w:rPr>
                <w:rFonts w:asciiTheme="majorBidi" w:hAnsiTheme="majorBidi" w:cstheme="majorBidi"/>
              </w:rPr>
              <w:t xml:space="preserve"> concentrations and increase its dose to maintain therapeutic effect, if required.</w:t>
            </w:r>
          </w:p>
        </w:tc>
      </w:tr>
    </w:tbl>
    <w:p w:rsidR="00C96D2D" w:rsidRPr="00C96D2D" w:rsidRDefault="00C96D2D" w:rsidP="00C96D2D">
      <w:pPr>
        <w:bidi w:val="0"/>
      </w:pPr>
      <w:r w:rsidRPr="00C96D2D">
        <w:rPr>
          <w:b/>
          <w:bCs/>
        </w:rPr>
        <w:br w:type="page"/>
      </w:r>
    </w:p>
    <w:tbl>
      <w:tblPr>
        <w:tblStyle w:val="PlainTable2"/>
        <w:tblpPr w:leftFromText="180" w:rightFromText="180" w:vertAnchor="text" w:horzAnchor="margin" w:tblpXSpec="center" w:tblpY="622"/>
        <w:tblW w:w="1116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065"/>
        <w:gridCol w:w="1080"/>
        <w:gridCol w:w="1260"/>
        <w:gridCol w:w="1080"/>
        <w:gridCol w:w="3060"/>
        <w:gridCol w:w="2615"/>
      </w:tblGrid>
      <w:tr w:rsidR="00C96D2D" w:rsidRPr="00C96D2D" w:rsidTr="00A801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bottom w:val="single" w:sz="4" w:space="0" w:color="000000" w:themeColor="text1"/>
            </w:tcBorders>
            <w:vAlign w:val="center"/>
          </w:tcPr>
          <w:p w:rsidR="00C96D2D" w:rsidRPr="00C96D2D" w:rsidRDefault="00C96D2D" w:rsidP="00A80188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C96D2D">
              <w:rPr>
                <w:rFonts w:asciiTheme="majorBidi" w:hAnsiTheme="majorBidi" w:cstheme="majorBidi"/>
              </w:rPr>
              <w:lastRenderedPageBreak/>
              <w:t>Drug- drug interaction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vAlign w:val="center"/>
          </w:tcPr>
          <w:p w:rsidR="00C96D2D" w:rsidRPr="00C96D2D" w:rsidRDefault="00C96D2D" w:rsidP="00A801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 w:rsidRPr="00C96D2D">
              <w:rPr>
                <w:rFonts w:asciiTheme="majorBidi" w:hAnsiTheme="majorBidi" w:cstheme="majorBidi"/>
              </w:rPr>
              <w:t>Number of cases</w:t>
            </w:r>
          </w:p>
        </w:tc>
        <w:tc>
          <w:tcPr>
            <w:tcW w:w="1260" w:type="dxa"/>
            <w:tcBorders>
              <w:bottom w:val="single" w:sz="4" w:space="0" w:color="000000" w:themeColor="text1"/>
            </w:tcBorders>
            <w:vAlign w:val="center"/>
          </w:tcPr>
          <w:p w:rsidR="00C96D2D" w:rsidRPr="00C96D2D" w:rsidRDefault="00C96D2D" w:rsidP="00A801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 w:rsidRPr="00C96D2D">
              <w:rPr>
                <w:rFonts w:asciiTheme="majorBidi" w:hAnsiTheme="majorBidi" w:cstheme="majorBidi"/>
              </w:rPr>
              <w:t>Quality of Evidence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vAlign w:val="center"/>
          </w:tcPr>
          <w:p w:rsidR="00C96D2D" w:rsidRPr="00C96D2D" w:rsidRDefault="00C96D2D" w:rsidP="00A80188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 w:rsidRPr="00C96D2D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Severity</w:t>
            </w:r>
          </w:p>
        </w:tc>
        <w:tc>
          <w:tcPr>
            <w:tcW w:w="3060" w:type="dxa"/>
            <w:tcBorders>
              <w:bottom w:val="single" w:sz="4" w:space="0" w:color="000000" w:themeColor="text1"/>
            </w:tcBorders>
            <w:vAlign w:val="center"/>
          </w:tcPr>
          <w:p w:rsidR="00C96D2D" w:rsidRPr="00C96D2D" w:rsidRDefault="00C96D2D" w:rsidP="00A80188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 w:rsidRPr="00C96D2D">
              <w:rPr>
                <w:rFonts w:asciiTheme="majorBidi" w:hAnsiTheme="majorBidi" w:cstheme="majorBidi"/>
              </w:rPr>
              <w:t>Mechanism(s)</w:t>
            </w:r>
          </w:p>
        </w:tc>
        <w:tc>
          <w:tcPr>
            <w:tcW w:w="2615" w:type="dxa"/>
            <w:tcBorders>
              <w:bottom w:val="single" w:sz="4" w:space="0" w:color="000000" w:themeColor="text1"/>
            </w:tcBorders>
            <w:vAlign w:val="center"/>
          </w:tcPr>
          <w:p w:rsidR="00C96D2D" w:rsidRPr="00C96D2D" w:rsidRDefault="00C96D2D" w:rsidP="00A80188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 w:rsidRPr="00C96D2D">
              <w:rPr>
                <w:rFonts w:asciiTheme="majorBidi" w:hAnsiTheme="majorBidi" w:cstheme="majorBidi"/>
              </w:rPr>
              <w:t>Management</w:t>
            </w:r>
          </w:p>
        </w:tc>
      </w:tr>
      <w:tr w:rsidR="00C96D2D" w:rsidRPr="00C96D2D" w:rsidTr="00A80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Align w:val="center"/>
          </w:tcPr>
          <w:p w:rsidR="00C96D2D" w:rsidRPr="00C96D2D" w:rsidRDefault="00C96D2D" w:rsidP="00A80188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96D2D">
              <w:rPr>
                <w:rFonts w:asciiTheme="majorBidi" w:hAnsiTheme="majorBidi" w:cstheme="majorBidi"/>
                <w:b w:val="0"/>
                <w:bCs w:val="0"/>
              </w:rPr>
              <w:t>Hydoxychloroquine and Tacrolimus</w:t>
            </w:r>
          </w:p>
        </w:tc>
        <w:tc>
          <w:tcPr>
            <w:tcW w:w="1080" w:type="dxa"/>
            <w:vAlign w:val="center"/>
          </w:tcPr>
          <w:p w:rsidR="00C96D2D" w:rsidRPr="00C96D2D" w:rsidRDefault="00C96D2D" w:rsidP="00A80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96D2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260" w:type="dxa"/>
            <w:vAlign w:val="center"/>
          </w:tcPr>
          <w:p w:rsidR="00C96D2D" w:rsidRPr="00C96D2D" w:rsidRDefault="00C96D2D" w:rsidP="00A80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96D2D">
              <w:rPr>
                <w:rFonts w:asciiTheme="majorBidi" w:hAnsiTheme="majorBidi" w:cstheme="majorBidi"/>
              </w:rPr>
              <w:t>Very Low</w:t>
            </w:r>
          </w:p>
        </w:tc>
        <w:tc>
          <w:tcPr>
            <w:tcW w:w="1080" w:type="dxa"/>
            <w:vAlign w:val="center"/>
          </w:tcPr>
          <w:p w:rsidR="00C96D2D" w:rsidRPr="00C96D2D" w:rsidRDefault="00C96D2D" w:rsidP="00A80188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96D2D">
              <w:rPr>
                <w:rFonts w:asciiTheme="majorBidi" w:hAnsiTheme="majorBidi" w:cstheme="majorBidi"/>
              </w:rPr>
              <w:t>Potential</w:t>
            </w:r>
          </w:p>
        </w:tc>
        <w:tc>
          <w:tcPr>
            <w:tcW w:w="3060" w:type="dxa"/>
            <w:vAlign w:val="center"/>
          </w:tcPr>
          <w:p w:rsidR="00C96D2D" w:rsidRPr="00C96D2D" w:rsidRDefault="00C96D2D" w:rsidP="00A80188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96D2D">
              <w:rPr>
                <w:rFonts w:asciiTheme="majorBidi" w:hAnsiTheme="majorBidi" w:cstheme="majorBidi"/>
              </w:rPr>
              <w:t>Hydroxychloroquine is an inhibitor of P-glycoprotein and can increase the concentration of Tacrolimus.</w:t>
            </w:r>
          </w:p>
          <w:p w:rsidR="00C96D2D" w:rsidRPr="00C96D2D" w:rsidRDefault="00C96D2D" w:rsidP="00A80188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96D2D">
              <w:rPr>
                <w:rFonts w:asciiTheme="majorBidi" w:hAnsiTheme="majorBidi" w:cstheme="majorBidi"/>
              </w:rPr>
              <w:t xml:space="preserve">Both Hydroxychloroquine and Tacrolimus have QT prolongation toxicity, potentially leading to </w:t>
            </w:r>
            <w:r w:rsidRPr="00C96D2D">
              <w:rPr>
                <w:rFonts w:asciiTheme="majorBidi" w:hAnsiTheme="majorBidi" w:cstheme="majorBidi"/>
                <w:i/>
                <w:iCs/>
              </w:rPr>
              <w:t>torsades de pointes</w:t>
            </w:r>
            <w:r w:rsidRPr="00C96D2D">
              <w:rPr>
                <w:rFonts w:asciiTheme="majorBidi" w:hAnsiTheme="majorBidi" w:cstheme="majorBidi"/>
              </w:rPr>
              <w:t xml:space="preserve"> arrhythmia. </w:t>
            </w:r>
          </w:p>
        </w:tc>
        <w:tc>
          <w:tcPr>
            <w:tcW w:w="2615" w:type="dxa"/>
            <w:vAlign w:val="center"/>
          </w:tcPr>
          <w:p w:rsidR="00C96D2D" w:rsidRPr="00C96D2D" w:rsidRDefault="00C96D2D" w:rsidP="00A80188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96D2D">
              <w:rPr>
                <w:rFonts w:asciiTheme="majorBidi" w:hAnsiTheme="majorBidi" w:cstheme="majorBidi"/>
              </w:rPr>
              <w:t>- Monitor tacrolimus concentrations and decrease its dose to prevent toxicity, if required.</w:t>
            </w:r>
          </w:p>
          <w:p w:rsidR="00C96D2D" w:rsidRPr="00C96D2D" w:rsidRDefault="00C96D2D" w:rsidP="00A80188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96D2D">
              <w:rPr>
                <w:rFonts w:asciiTheme="majorBidi" w:hAnsiTheme="majorBidi" w:cstheme="majorBidi"/>
              </w:rPr>
              <w:t xml:space="preserve">- Check electrocardiogram regularly. </w:t>
            </w:r>
          </w:p>
        </w:tc>
      </w:tr>
      <w:tr w:rsidR="00C96D2D" w:rsidRPr="00C96D2D" w:rsidTr="00A80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Align w:val="center"/>
          </w:tcPr>
          <w:p w:rsidR="00C96D2D" w:rsidRPr="00C96D2D" w:rsidRDefault="00C96D2D" w:rsidP="00A80188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C96D2D">
              <w:rPr>
                <w:rFonts w:asciiTheme="majorBidi" w:hAnsiTheme="majorBidi" w:cstheme="majorBidi"/>
                <w:b w:val="0"/>
                <w:bCs w:val="0"/>
              </w:rPr>
              <w:t xml:space="preserve">Dexamethasone and </w:t>
            </w:r>
            <w:r w:rsidRPr="00C96D2D">
              <w:rPr>
                <w:rStyle w:val="Emphasis"/>
                <w:rFonts w:asciiTheme="majorBidi" w:hAnsiTheme="majorBidi"/>
                <w:b w:val="0"/>
                <w:bCs w:val="0"/>
              </w:rPr>
              <w:t>Sirolimus</w:t>
            </w:r>
          </w:p>
        </w:tc>
        <w:tc>
          <w:tcPr>
            <w:tcW w:w="1080" w:type="dxa"/>
            <w:vAlign w:val="center"/>
          </w:tcPr>
          <w:p w:rsidR="00C96D2D" w:rsidRPr="00C96D2D" w:rsidRDefault="00C96D2D" w:rsidP="00A801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96D2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260" w:type="dxa"/>
            <w:vAlign w:val="center"/>
          </w:tcPr>
          <w:p w:rsidR="00C96D2D" w:rsidRPr="00C96D2D" w:rsidRDefault="00C96D2D" w:rsidP="00A801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96D2D">
              <w:rPr>
                <w:rFonts w:asciiTheme="majorBidi" w:hAnsiTheme="majorBidi" w:cstheme="majorBidi"/>
              </w:rPr>
              <w:t>Very Low</w:t>
            </w:r>
          </w:p>
        </w:tc>
        <w:tc>
          <w:tcPr>
            <w:tcW w:w="1080" w:type="dxa"/>
            <w:vAlign w:val="center"/>
          </w:tcPr>
          <w:p w:rsidR="00C96D2D" w:rsidRPr="00C96D2D" w:rsidRDefault="00C96D2D" w:rsidP="00A80188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96D2D">
              <w:rPr>
                <w:rFonts w:asciiTheme="majorBidi" w:hAnsiTheme="majorBidi" w:cstheme="majorBidi"/>
              </w:rPr>
              <w:t>Potential</w:t>
            </w:r>
          </w:p>
        </w:tc>
        <w:tc>
          <w:tcPr>
            <w:tcW w:w="3060" w:type="dxa"/>
            <w:vAlign w:val="center"/>
          </w:tcPr>
          <w:p w:rsidR="00C96D2D" w:rsidRPr="00C96D2D" w:rsidRDefault="00C96D2D" w:rsidP="00A80188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96D2D">
              <w:rPr>
                <w:rFonts w:asciiTheme="majorBidi" w:hAnsiTheme="majorBidi" w:cstheme="majorBidi"/>
              </w:rPr>
              <w:t>Sirolimus is metabolized by CYP3A4, and Dexamethasone can enhance Sirolimus metabolism by inducing CYP3A4, potentially leading to decreased Sirolimus concentrations.</w:t>
            </w:r>
          </w:p>
        </w:tc>
        <w:tc>
          <w:tcPr>
            <w:tcW w:w="2615" w:type="dxa"/>
            <w:vAlign w:val="center"/>
          </w:tcPr>
          <w:p w:rsidR="00C96D2D" w:rsidRPr="00C96D2D" w:rsidRDefault="00C96D2D" w:rsidP="00A80188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96D2D">
              <w:rPr>
                <w:rFonts w:asciiTheme="majorBidi" w:hAnsiTheme="majorBidi" w:cstheme="majorBidi"/>
              </w:rPr>
              <w:t>Monitor Sirolimus concentration during COVID-19 treatment and 2 weeks after the end of treatment.</w:t>
            </w:r>
          </w:p>
        </w:tc>
      </w:tr>
      <w:tr w:rsidR="00C96D2D" w:rsidRPr="00C96D2D" w:rsidTr="00A80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Align w:val="center"/>
          </w:tcPr>
          <w:p w:rsidR="00C96D2D" w:rsidRPr="00C96D2D" w:rsidRDefault="00C96D2D" w:rsidP="00A80188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C96D2D">
              <w:rPr>
                <w:rFonts w:asciiTheme="majorBidi" w:hAnsiTheme="majorBidi" w:cstheme="majorBidi"/>
                <w:b w:val="0"/>
                <w:bCs w:val="0"/>
              </w:rPr>
              <w:t>Dexamethasone and Everolimus</w:t>
            </w:r>
          </w:p>
        </w:tc>
        <w:tc>
          <w:tcPr>
            <w:tcW w:w="1080" w:type="dxa"/>
            <w:vAlign w:val="center"/>
          </w:tcPr>
          <w:p w:rsidR="00C96D2D" w:rsidRPr="00C96D2D" w:rsidRDefault="00C96D2D" w:rsidP="00A80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96D2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260" w:type="dxa"/>
            <w:vAlign w:val="center"/>
          </w:tcPr>
          <w:p w:rsidR="00C96D2D" w:rsidRPr="00C96D2D" w:rsidRDefault="00C96D2D" w:rsidP="00A80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96D2D">
              <w:rPr>
                <w:rFonts w:asciiTheme="majorBidi" w:hAnsiTheme="majorBidi" w:cstheme="majorBidi"/>
              </w:rPr>
              <w:t>Very Low</w:t>
            </w:r>
          </w:p>
        </w:tc>
        <w:tc>
          <w:tcPr>
            <w:tcW w:w="1080" w:type="dxa"/>
            <w:vAlign w:val="center"/>
          </w:tcPr>
          <w:p w:rsidR="00C96D2D" w:rsidRPr="00C96D2D" w:rsidRDefault="00C96D2D" w:rsidP="00A80188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96D2D">
              <w:rPr>
                <w:rFonts w:asciiTheme="majorBidi" w:hAnsiTheme="majorBidi" w:cstheme="majorBidi"/>
              </w:rPr>
              <w:t>Potential weak</w:t>
            </w:r>
          </w:p>
        </w:tc>
        <w:tc>
          <w:tcPr>
            <w:tcW w:w="3060" w:type="dxa"/>
            <w:vAlign w:val="center"/>
          </w:tcPr>
          <w:p w:rsidR="00C96D2D" w:rsidRPr="00C96D2D" w:rsidRDefault="00C96D2D" w:rsidP="00A80188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96D2D">
              <w:rPr>
                <w:rFonts w:asciiTheme="majorBidi" w:hAnsiTheme="majorBidi" w:cstheme="majorBidi"/>
              </w:rPr>
              <w:t>Everolimus is metabolized by CYP3A4, and Dexamethasone can enhance Sirolimus metabolism by inducing CYP3A4, potentially leading to decreased Everolimus concentrations.</w:t>
            </w:r>
          </w:p>
        </w:tc>
        <w:tc>
          <w:tcPr>
            <w:tcW w:w="2615" w:type="dxa"/>
            <w:vAlign w:val="center"/>
          </w:tcPr>
          <w:p w:rsidR="00C96D2D" w:rsidRPr="00C96D2D" w:rsidRDefault="00C96D2D" w:rsidP="00A80188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96D2D">
              <w:rPr>
                <w:rFonts w:asciiTheme="majorBidi" w:hAnsiTheme="majorBidi" w:cstheme="majorBidi"/>
              </w:rPr>
              <w:t>Monitor Everolimus concentration during COVID-19treatment and 2 weeks after treatment</w:t>
            </w:r>
          </w:p>
        </w:tc>
      </w:tr>
      <w:tr w:rsidR="00C96D2D" w:rsidRPr="00C96D2D" w:rsidTr="00A80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Align w:val="center"/>
          </w:tcPr>
          <w:p w:rsidR="00C96D2D" w:rsidRPr="00C96D2D" w:rsidRDefault="00C96D2D" w:rsidP="00A80188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C96D2D">
              <w:rPr>
                <w:rFonts w:asciiTheme="majorBidi" w:hAnsiTheme="majorBidi" w:cstheme="majorBidi"/>
                <w:b w:val="0"/>
                <w:bCs w:val="0"/>
              </w:rPr>
              <w:t>Hydroxychloroquine and Dexamethasone</w:t>
            </w:r>
          </w:p>
        </w:tc>
        <w:tc>
          <w:tcPr>
            <w:tcW w:w="1080" w:type="dxa"/>
            <w:vAlign w:val="center"/>
          </w:tcPr>
          <w:p w:rsidR="00C96D2D" w:rsidRPr="00C96D2D" w:rsidRDefault="00C96D2D" w:rsidP="00A801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96D2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260" w:type="dxa"/>
            <w:vAlign w:val="center"/>
          </w:tcPr>
          <w:p w:rsidR="00C96D2D" w:rsidRPr="00C96D2D" w:rsidRDefault="00C96D2D" w:rsidP="00A801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96D2D">
              <w:rPr>
                <w:rFonts w:asciiTheme="majorBidi" w:hAnsiTheme="majorBidi" w:cstheme="majorBidi"/>
              </w:rPr>
              <w:t>Very Low</w:t>
            </w:r>
          </w:p>
        </w:tc>
        <w:tc>
          <w:tcPr>
            <w:tcW w:w="1080" w:type="dxa"/>
            <w:vAlign w:val="center"/>
          </w:tcPr>
          <w:p w:rsidR="00C96D2D" w:rsidRPr="00C96D2D" w:rsidRDefault="00C96D2D" w:rsidP="00A80188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96D2D">
              <w:rPr>
                <w:rFonts w:asciiTheme="majorBidi" w:hAnsiTheme="majorBidi" w:cstheme="majorBidi"/>
              </w:rPr>
              <w:t>Potential</w:t>
            </w:r>
          </w:p>
        </w:tc>
        <w:tc>
          <w:tcPr>
            <w:tcW w:w="3060" w:type="dxa"/>
            <w:vAlign w:val="center"/>
          </w:tcPr>
          <w:p w:rsidR="00C96D2D" w:rsidRPr="00C96D2D" w:rsidRDefault="00C96D2D" w:rsidP="00A80188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96D2D">
              <w:rPr>
                <w:rFonts w:asciiTheme="majorBidi" w:hAnsiTheme="majorBidi" w:cstheme="majorBidi"/>
              </w:rPr>
              <w:t xml:space="preserve">Although it is unlikely that Hydroxychloroquine and Dexamethasone exposure can be affected significantly, there is an increased potential risk of myopathies.  </w:t>
            </w:r>
          </w:p>
        </w:tc>
        <w:tc>
          <w:tcPr>
            <w:tcW w:w="2615" w:type="dxa"/>
            <w:vAlign w:val="center"/>
          </w:tcPr>
          <w:p w:rsidR="00C96D2D" w:rsidRPr="00C96D2D" w:rsidRDefault="00C96D2D" w:rsidP="00A80188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96D2D">
              <w:rPr>
                <w:rFonts w:asciiTheme="majorBidi" w:hAnsiTheme="majorBidi" w:cstheme="majorBidi"/>
              </w:rPr>
              <w:t>Monitor for signs/symptoms of myopathy during treatment.</w:t>
            </w:r>
          </w:p>
        </w:tc>
      </w:tr>
    </w:tbl>
    <w:p w:rsidR="00C96D2D" w:rsidRDefault="00C96D2D" w:rsidP="00C96D2D">
      <w:pPr>
        <w:bidi w:val="0"/>
        <w:rPr>
          <w:b/>
          <w:bCs/>
        </w:rPr>
      </w:pPr>
      <w:r w:rsidRPr="00C96D2D">
        <w:rPr>
          <w:rFonts w:asciiTheme="majorBidi" w:eastAsia="Times New Roman" w:hAnsiTheme="majorBidi" w:cstheme="majorBidi"/>
          <w:sz w:val="24"/>
          <w:szCs w:val="24"/>
          <w:lang w:val="en"/>
        </w:rPr>
        <w:t>Supplementary 2.</w:t>
      </w:r>
    </w:p>
    <w:p w:rsidR="00C96D2D" w:rsidRDefault="00C96D2D" w:rsidP="00C96D2D">
      <w:pPr>
        <w:bidi w:val="0"/>
      </w:pPr>
    </w:p>
    <w:p w:rsidR="00512792" w:rsidRPr="00C96D2D" w:rsidRDefault="00512792" w:rsidP="00C96D2D"/>
    <w:sectPr w:rsidR="00512792" w:rsidRPr="00C96D2D" w:rsidSect="005C2EE8">
      <w:footerReference w:type="default" r:id="rId6"/>
      <w:pgSz w:w="12240" w:h="15840" w:code="1"/>
      <w:pgMar w:top="851" w:right="851" w:bottom="851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4196945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13D28" w:rsidRDefault="00C96D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213D28" w:rsidRDefault="00C96D2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923"/>
    <w:rsid w:val="00227923"/>
    <w:rsid w:val="00512792"/>
    <w:rsid w:val="00C9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36182"/>
  <w15:chartTrackingRefBased/>
  <w15:docId w15:val="{0A26D117-D7F1-4EBA-BDEF-FA3CB956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923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51">
    <w:name w:val="Grid Table 4 - Accent 51"/>
    <w:basedOn w:val="TableNormal"/>
    <w:next w:val="GridTable4-Accent5"/>
    <w:uiPriority w:val="49"/>
    <w:rsid w:val="00227923"/>
    <w:pPr>
      <w:spacing w:after="0" w:line="240" w:lineRule="auto"/>
      <w:jc w:val="center"/>
    </w:pPr>
    <w:rPr>
      <w:rFonts w:ascii="Times New Roman" w:eastAsia="Calibri" w:hAnsi="Times New Roman" w:cs="B Nazanin"/>
      <w:szCs w:val="26"/>
      <w:lang w:bidi="fa-IR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4-Accent5">
    <w:name w:val="Grid Table 4 Accent 5"/>
    <w:basedOn w:val="TableNormal"/>
    <w:uiPriority w:val="49"/>
    <w:rsid w:val="0022792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q4iawc">
    <w:name w:val="q4iawc"/>
    <w:basedOn w:val="DefaultParagraphFont"/>
    <w:rsid w:val="00C96D2D"/>
  </w:style>
  <w:style w:type="character" w:styleId="Emphasis">
    <w:name w:val="Emphasis"/>
    <w:basedOn w:val="DefaultParagraphFont"/>
    <w:uiPriority w:val="20"/>
    <w:qFormat/>
    <w:rsid w:val="00C96D2D"/>
    <w:rPr>
      <w:i/>
      <w:iCs/>
    </w:rPr>
  </w:style>
  <w:style w:type="table" w:styleId="PlainTable2">
    <w:name w:val="Plain Table 2"/>
    <w:basedOn w:val="TableNormal"/>
    <w:uiPriority w:val="42"/>
    <w:rsid w:val="00C96D2D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C96D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D2D"/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s://www.google.com/url?sa=t&amp;rct=j&amp;q=&amp;esrc=s&amp;source=web&amp;cd=&amp;cad=rja&amp;uact=8&amp;ved=2ahUKEwizyqiqzJ_4AhWg57sIHVZDBOkQFnoECAQQAQ&amp;url=https%3A%2F%2Fwww.imna.ir%2Fnews%2F517072%2F%25D8%25A7%25DA%25A9%25D8%25AA%25D9%2585%25D8%25B1%25D8%25A7-%25DA%2586%25DB%258C%25D8%25B3%25D8%25AA-%25D8%25AF%25D9%2588%25D8%25B2-%25D9%2585%25D8%25B5%25D8%25B1%25D9%2581%25DB%258C-%25D8%25B9%25D9%2588%25D8%25A7%25D8%25B1%25D8%25B6-%25D9%2588-%25D8%25AF%25D8%25B1%25D9%2585%25D8%25A7%25D9%2586-%25DA%25A9%25D8%25B1%25D9%2588%25D9%2586%25D8%25A7-%25D8%25A8%25D8%25A7-Actemra&amp;usg=AOvVaw1-YDHRnC_K4XsHUeL4iIj7" TargetMode="External"/><Relationship Id="rId4" Type="http://schemas.openxmlformats.org/officeDocument/2006/relationships/hyperlink" Target="https://www.google.com/url?sa=t&amp;rct=j&amp;q=&amp;esrc=s&amp;source=web&amp;cd=&amp;cad=rja&amp;uact=8&amp;ved=2ahUKEwizyqiqzJ_4AhWg57sIHVZDBOkQFnoECAQQAQ&amp;url=https%3A%2F%2Fwww.imna.ir%2Fnews%2F517072%2F%25D8%25A7%25DA%25A9%25D8%25AA%25D9%2585%25D8%25B1%25D8%25A7-%25DA%2586%25DB%258C%25D8%25B3%25D8%25AA-%25D8%25AF%25D9%2588%25D8%25B2-%25D9%2585%25D8%25B5%25D8%25B1%25D9%2581%25DB%258C-%25D8%25B9%25D9%2588%25D8%25A7%25D8%25B1%25D8%25B6-%25D9%2588-%25D8%25AF%25D8%25B1%25D9%2585%25D8%25A7%25D9%2586-%25DA%25A9%25D8%25B1%25D9%2588%25D9%2586%25D8%25A7-%25D8%25A8%25D8%25A7-Actemra&amp;usg=AOvVaw1-YDHRnC_K4XsHUeL4iIj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مینا زارعی</dc:creator>
  <cp:keywords/>
  <dc:description/>
  <cp:lastModifiedBy>مینا زارعی</cp:lastModifiedBy>
  <cp:revision>2</cp:revision>
  <dcterms:created xsi:type="dcterms:W3CDTF">2025-03-10T08:26:00Z</dcterms:created>
  <dcterms:modified xsi:type="dcterms:W3CDTF">2025-03-10T08:26:00Z</dcterms:modified>
</cp:coreProperties>
</file>